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242FE" w14:textId="4C9FE467" w:rsidR="00EF30A2" w:rsidRPr="00EF30A2" w:rsidRDefault="00EF30A2" w:rsidP="00EF30A2">
      <w:pPr>
        <w:spacing w:before="270" w:line="384" w:lineRule="auto"/>
        <w:ind w:right="187"/>
        <w:jc w:val="center"/>
        <w:rPr>
          <w:rFonts w:ascii="Palatino Linotype" w:hAnsi="Palatino Linotype"/>
          <w:b/>
          <w:bCs/>
          <w:sz w:val="28"/>
          <w:szCs w:val="28"/>
        </w:rPr>
      </w:pPr>
      <w:r w:rsidRPr="00EF30A2">
        <w:rPr>
          <w:rFonts w:ascii="Palatino Linotype" w:hAnsi="Palatino Linotype"/>
          <w:b/>
          <w:bCs/>
          <w:sz w:val="28"/>
          <w:szCs w:val="28"/>
        </w:rPr>
        <w:t>Habilitációs és tudományos előadások vázlata</w:t>
      </w:r>
    </w:p>
    <w:p w14:paraId="13BB737F" w14:textId="01D10179" w:rsidR="00EF30A2" w:rsidRDefault="00EF30A2" w:rsidP="00EF30A2">
      <w:pPr>
        <w:spacing w:before="270" w:line="384" w:lineRule="auto"/>
        <w:ind w:left="171" w:right="79" w:hanging="93"/>
        <w:jc w:val="center"/>
        <w:rPr>
          <w:rFonts w:ascii="Palatino Linotype"/>
          <w:smallCaps/>
          <w:w w:val="110"/>
          <w:sz w:val="24"/>
        </w:rPr>
      </w:pPr>
      <w:r w:rsidRPr="00B96499">
        <w:rPr>
          <w:rFonts w:ascii="Palatino Linotype" w:hAnsi="Palatino Linotype"/>
          <w:sz w:val="24"/>
          <w:szCs w:val="24"/>
        </w:rPr>
        <w:t>Dr.</w:t>
      </w:r>
      <w:r w:rsidRPr="00B96499">
        <w:rPr>
          <w:sz w:val="24"/>
          <w:szCs w:val="24"/>
        </w:rPr>
        <w:t xml:space="preserve"> </w:t>
      </w:r>
      <w:r w:rsidRPr="00B96499">
        <w:rPr>
          <w:rFonts w:ascii="Palatino Linotype"/>
          <w:spacing w:val="-1"/>
          <w:w w:val="110"/>
          <w:sz w:val="24"/>
          <w:szCs w:val="24"/>
        </w:rPr>
        <w:t>T</w:t>
      </w:r>
      <w:r w:rsidRPr="00B96499">
        <w:rPr>
          <w:rFonts w:ascii="Palatino Linotype"/>
          <w:smallCaps/>
          <w:spacing w:val="-1"/>
          <w:w w:val="110"/>
          <w:sz w:val="24"/>
          <w:szCs w:val="24"/>
        </w:rPr>
        <w:t>oledo</w:t>
      </w:r>
      <w:r>
        <w:rPr>
          <w:rFonts w:ascii="Palatino Linotype"/>
          <w:spacing w:val="-1"/>
          <w:w w:val="110"/>
          <w:sz w:val="24"/>
        </w:rPr>
        <w:t xml:space="preserve"> </w:t>
      </w:r>
      <w:r>
        <w:rPr>
          <w:rFonts w:ascii="Palatino Linotype"/>
          <w:w w:val="110"/>
          <w:sz w:val="24"/>
        </w:rPr>
        <w:t>R</w:t>
      </w:r>
      <w:r>
        <w:rPr>
          <w:rFonts w:ascii="Palatino Linotype"/>
          <w:smallCaps/>
          <w:w w:val="110"/>
          <w:sz w:val="24"/>
        </w:rPr>
        <w:t>odolfo</w:t>
      </w:r>
      <w:r>
        <w:rPr>
          <w:rFonts w:ascii="Palatino Linotype"/>
          <w:w w:val="110"/>
          <w:sz w:val="24"/>
        </w:rPr>
        <w:t xml:space="preserve"> </w:t>
      </w:r>
      <w:proofErr w:type="spellStart"/>
      <w:r>
        <w:rPr>
          <w:rFonts w:ascii="Palatino Linotype"/>
          <w:w w:val="110"/>
          <w:sz w:val="24"/>
        </w:rPr>
        <w:t>C</w:t>
      </w:r>
      <w:r>
        <w:rPr>
          <w:rFonts w:ascii="Palatino Linotype"/>
          <w:smallCaps/>
          <w:w w:val="110"/>
          <w:sz w:val="24"/>
        </w:rPr>
        <w:t>alixto</w:t>
      </w:r>
      <w:proofErr w:type="spellEnd"/>
    </w:p>
    <w:p w14:paraId="194A8CF5" w14:textId="2D0A2979" w:rsidR="00EF30A2" w:rsidRDefault="00EF30A2" w:rsidP="00EF30A2">
      <w:pPr>
        <w:spacing w:before="270" w:line="384" w:lineRule="auto"/>
        <w:ind w:left="171" w:right="170" w:hanging="93"/>
        <w:jc w:val="center"/>
        <w:rPr>
          <w:rFonts w:ascii="Palatino Linotype"/>
          <w:sz w:val="24"/>
        </w:rPr>
      </w:pPr>
      <w:r>
        <w:rPr>
          <w:rFonts w:ascii="Palatino Linotype"/>
          <w:w w:val="110"/>
          <w:sz w:val="24"/>
        </w:rPr>
        <w:t>2022.</w:t>
      </w:r>
      <w:r>
        <w:rPr>
          <w:rFonts w:ascii="Palatino Linotype"/>
          <w:spacing w:val="26"/>
          <w:w w:val="110"/>
          <w:sz w:val="24"/>
        </w:rPr>
        <w:t xml:space="preserve"> </w:t>
      </w:r>
      <w:r>
        <w:rPr>
          <w:rFonts w:ascii="Palatino Linotype"/>
          <w:spacing w:val="26"/>
          <w:w w:val="110"/>
          <w:sz w:val="24"/>
        </w:rPr>
        <w:t>á</w:t>
      </w:r>
      <w:r>
        <w:rPr>
          <w:rFonts w:ascii="Palatino Linotype"/>
          <w:spacing w:val="26"/>
          <w:w w:val="110"/>
          <w:sz w:val="24"/>
        </w:rPr>
        <w:t>prilis 29</w:t>
      </w:r>
      <w:r>
        <w:rPr>
          <w:rFonts w:ascii="Palatino Linotype"/>
          <w:w w:val="110"/>
          <w:sz w:val="24"/>
        </w:rPr>
        <w:t>.</w:t>
      </w:r>
    </w:p>
    <w:p w14:paraId="5C0E40DC" w14:textId="77777777" w:rsidR="00EF30A2" w:rsidRDefault="00EF30A2" w:rsidP="00EF30A2">
      <w:pPr>
        <w:pStyle w:val="Cmsor1"/>
        <w:spacing w:before="186"/>
      </w:pPr>
      <w:r>
        <w:rPr>
          <w:spacing w:val="-1"/>
          <w:w w:val="110"/>
        </w:rPr>
        <w:t>Habilitációs</w:t>
      </w:r>
      <w:r>
        <w:rPr>
          <w:spacing w:val="-7"/>
          <w:w w:val="110"/>
        </w:rPr>
        <w:t xml:space="preserve"> </w:t>
      </w:r>
      <w:r>
        <w:rPr>
          <w:w w:val="110"/>
        </w:rPr>
        <w:t>előadás</w:t>
      </w:r>
      <w:r>
        <w:rPr>
          <w:spacing w:val="-6"/>
          <w:w w:val="110"/>
        </w:rPr>
        <w:t xml:space="preserve"> </w:t>
      </w:r>
      <w:r>
        <w:rPr>
          <w:w w:val="110"/>
        </w:rPr>
        <w:t>vázlata</w:t>
      </w:r>
    </w:p>
    <w:p w14:paraId="29DB180E" w14:textId="77777777" w:rsidR="00EF30A2" w:rsidRDefault="00EF30A2" w:rsidP="00EF30A2">
      <w:pPr>
        <w:pStyle w:val="Szvegtrzs"/>
        <w:spacing w:before="0"/>
        <w:ind w:left="0"/>
        <w:rPr>
          <w:sz w:val="41"/>
        </w:rPr>
      </w:pPr>
    </w:p>
    <w:p w14:paraId="5536ACA6" w14:textId="77777777" w:rsidR="00EF30A2" w:rsidRDefault="00EF30A2" w:rsidP="00EF30A2">
      <w:pPr>
        <w:pStyle w:val="Cmsor2"/>
        <w:tabs>
          <w:tab w:val="left" w:pos="417"/>
        </w:tabs>
        <w:ind w:firstLine="0"/>
        <w:rPr>
          <w:w w:val="95"/>
        </w:rPr>
      </w:pPr>
      <w:r>
        <w:rPr>
          <w:w w:val="95"/>
        </w:rPr>
        <w:t>A</w:t>
      </w:r>
      <w:r>
        <w:rPr>
          <w:spacing w:val="22"/>
          <w:w w:val="95"/>
        </w:rPr>
        <w:t xml:space="preserve"> </w:t>
      </w:r>
      <w:r>
        <w:rPr>
          <w:w w:val="95"/>
        </w:rPr>
        <w:t>trigonometrikus</w:t>
      </w:r>
      <w:r>
        <w:rPr>
          <w:spacing w:val="22"/>
          <w:w w:val="95"/>
        </w:rPr>
        <w:t xml:space="preserve"> </w:t>
      </w:r>
      <w:r>
        <w:rPr>
          <w:w w:val="95"/>
        </w:rPr>
        <w:t>rendszer</w:t>
      </w:r>
      <w:r>
        <w:rPr>
          <w:spacing w:val="22"/>
          <w:w w:val="95"/>
        </w:rPr>
        <w:t xml:space="preserve"> </w:t>
      </w:r>
      <w:r>
        <w:rPr>
          <w:w w:val="95"/>
        </w:rPr>
        <w:t>teljessége</w:t>
      </w:r>
    </w:p>
    <w:p w14:paraId="2D8A34CC" w14:textId="77777777" w:rsidR="00EF30A2" w:rsidRDefault="00EF30A2" w:rsidP="00EF30A2">
      <w:pPr>
        <w:pStyle w:val="Cmsor2"/>
        <w:tabs>
          <w:tab w:val="left" w:pos="417"/>
        </w:tabs>
        <w:ind w:firstLine="0"/>
      </w:pPr>
    </w:p>
    <w:p w14:paraId="2A183D71" w14:textId="77777777" w:rsidR="00EF30A2" w:rsidRDefault="00EF30A2" w:rsidP="00EF30A2">
      <w:pPr>
        <w:pStyle w:val="Szvegtrzs"/>
      </w:pPr>
      <w:r>
        <w:rPr>
          <w:w w:val="110"/>
        </w:rPr>
        <w:t>Tantárgy:</w:t>
      </w:r>
      <w:r>
        <w:rPr>
          <w:spacing w:val="2"/>
          <w:w w:val="110"/>
        </w:rPr>
        <w:t xml:space="preserve"> </w:t>
      </w:r>
      <w:r>
        <w:rPr>
          <w:w w:val="110"/>
        </w:rPr>
        <w:t>Fourier</w:t>
      </w:r>
      <w:r>
        <w:rPr>
          <w:spacing w:val="-14"/>
          <w:w w:val="110"/>
        </w:rPr>
        <w:t xml:space="preserve"> </w:t>
      </w:r>
      <w:r>
        <w:rPr>
          <w:w w:val="110"/>
        </w:rPr>
        <w:t>analízis</w:t>
      </w:r>
    </w:p>
    <w:p w14:paraId="7EF9EEE4" w14:textId="77777777" w:rsidR="00EF30A2" w:rsidRDefault="00EF30A2" w:rsidP="00EF30A2">
      <w:pPr>
        <w:pStyle w:val="Szvegtrzs"/>
        <w:spacing w:line="256" w:lineRule="auto"/>
      </w:pPr>
      <w:r>
        <w:rPr>
          <w:w w:val="110"/>
        </w:rPr>
        <w:t xml:space="preserve">Szak: Programtervező informatikus </w:t>
      </w:r>
      <w:proofErr w:type="spellStart"/>
      <w:r>
        <w:rPr>
          <w:w w:val="110"/>
        </w:rPr>
        <w:t>MSc</w:t>
      </w:r>
      <w:proofErr w:type="spellEnd"/>
      <w:r>
        <w:rPr>
          <w:w w:val="110"/>
        </w:rPr>
        <w:t xml:space="preserve"> – modellalkotó szakirány (2018)</w:t>
      </w:r>
      <w:r>
        <w:rPr>
          <w:spacing w:val="1"/>
          <w:w w:val="110"/>
        </w:rPr>
        <w:t xml:space="preserve"> </w:t>
      </w:r>
      <w:r>
        <w:rPr>
          <w:w w:val="105"/>
        </w:rPr>
        <w:t>Előzmények:</w:t>
      </w:r>
      <w:r>
        <w:rPr>
          <w:spacing w:val="38"/>
          <w:w w:val="105"/>
        </w:rPr>
        <w:t xml:space="preserve"> </w:t>
      </w:r>
      <w:r>
        <w:rPr>
          <w:w w:val="105"/>
        </w:rPr>
        <w:t>Első</w:t>
      </w:r>
      <w:r>
        <w:rPr>
          <w:spacing w:val="12"/>
          <w:w w:val="105"/>
        </w:rPr>
        <w:t xml:space="preserve"> </w:t>
      </w:r>
      <w:r>
        <w:rPr>
          <w:w w:val="105"/>
        </w:rPr>
        <w:t>hét,</w:t>
      </w:r>
      <w:r>
        <w:rPr>
          <w:spacing w:val="12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diákok</w:t>
      </w:r>
      <w:r>
        <w:rPr>
          <w:spacing w:val="12"/>
          <w:w w:val="105"/>
        </w:rPr>
        <w:t xml:space="preserve"> </w:t>
      </w:r>
      <w:r>
        <w:rPr>
          <w:w w:val="105"/>
        </w:rPr>
        <w:t>már</w:t>
      </w:r>
      <w:r>
        <w:rPr>
          <w:spacing w:val="11"/>
          <w:w w:val="105"/>
        </w:rPr>
        <w:t xml:space="preserve"> </w:t>
      </w:r>
      <w:r>
        <w:rPr>
          <w:w w:val="105"/>
        </w:rPr>
        <w:t>megismerkedtek</w:t>
      </w:r>
      <w:r>
        <w:rPr>
          <w:spacing w:val="11"/>
          <w:w w:val="105"/>
        </w:rPr>
        <w:t xml:space="preserve"> </w:t>
      </w:r>
      <w:r>
        <w:rPr>
          <w:w w:val="105"/>
        </w:rPr>
        <w:t>a</w:t>
      </w:r>
      <w:r>
        <w:rPr>
          <w:spacing w:val="12"/>
          <w:w w:val="105"/>
        </w:rPr>
        <w:t xml:space="preserve"> </w:t>
      </w:r>
      <w:r>
        <w:rPr>
          <w:w w:val="105"/>
        </w:rPr>
        <w:t>Fourier-elmélet</w:t>
      </w:r>
      <w:r>
        <w:rPr>
          <w:spacing w:val="11"/>
          <w:w w:val="105"/>
        </w:rPr>
        <w:t xml:space="preserve"> </w:t>
      </w:r>
      <w:r>
        <w:rPr>
          <w:w w:val="105"/>
        </w:rPr>
        <w:t>történelmi</w:t>
      </w:r>
      <w:r>
        <w:rPr>
          <w:spacing w:val="-55"/>
          <w:w w:val="105"/>
        </w:rPr>
        <w:t xml:space="preserve"> </w:t>
      </w:r>
      <w:r>
        <w:rPr>
          <w:w w:val="105"/>
        </w:rPr>
        <w:t>hátterével,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3"/>
          <w:w w:val="105"/>
        </w:rPr>
        <w:t xml:space="preserve"> </w:t>
      </w:r>
      <w:r>
        <w:rPr>
          <w:w w:val="105"/>
        </w:rPr>
        <w:t>trigonometrikus</w:t>
      </w:r>
      <w:r>
        <w:rPr>
          <w:spacing w:val="13"/>
          <w:w w:val="105"/>
        </w:rPr>
        <w:t xml:space="preserve"> </w:t>
      </w:r>
      <w:r>
        <w:rPr>
          <w:w w:val="105"/>
        </w:rPr>
        <w:t>rendszerrel</w:t>
      </w:r>
      <w:r>
        <w:rPr>
          <w:spacing w:val="13"/>
          <w:w w:val="105"/>
        </w:rPr>
        <w:t xml:space="preserve"> </w:t>
      </w:r>
      <w:r>
        <w:rPr>
          <w:w w:val="105"/>
        </w:rPr>
        <w:t>(valós</w:t>
      </w:r>
      <w:r>
        <w:rPr>
          <w:spacing w:val="13"/>
          <w:w w:val="105"/>
        </w:rPr>
        <w:t xml:space="preserve"> </w:t>
      </w:r>
      <w:r>
        <w:rPr>
          <w:w w:val="105"/>
        </w:rPr>
        <w:t>és</w:t>
      </w:r>
      <w:r>
        <w:rPr>
          <w:spacing w:val="13"/>
          <w:w w:val="105"/>
        </w:rPr>
        <w:t xml:space="preserve"> </w:t>
      </w:r>
      <w:r>
        <w:rPr>
          <w:w w:val="105"/>
        </w:rPr>
        <w:t>komplex)</w:t>
      </w:r>
      <w:r>
        <w:rPr>
          <w:spacing w:val="14"/>
          <w:w w:val="105"/>
        </w:rPr>
        <w:t xml:space="preserve"> </w:t>
      </w:r>
      <w:r>
        <w:rPr>
          <w:w w:val="105"/>
        </w:rPr>
        <w:t>és</w:t>
      </w:r>
      <w:r>
        <w:rPr>
          <w:spacing w:val="13"/>
          <w:w w:val="105"/>
        </w:rPr>
        <w:t xml:space="preserve"> </w:t>
      </w:r>
      <w:r>
        <w:rPr>
          <w:w w:val="105"/>
        </w:rPr>
        <w:t>a</w:t>
      </w:r>
      <w:r>
        <w:rPr>
          <w:spacing w:val="13"/>
          <w:w w:val="105"/>
        </w:rPr>
        <w:t xml:space="preserve"> </w:t>
      </w:r>
      <w:r>
        <w:rPr>
          <w:w w:val="105"/>
        </w:rPr>
        <w:t>trigonometrikus-</w:t>
      </w:r>
      <w:r>
        <w:rPr>
          <w:spacing w:val="1"/>
          <w:w w:val="105"/>
        </w:rPr>
        <w:t xml:space="preserve"> </w:t>
      </w:r>
      <w:r>
        <w:rPr>
          <w:w w:val="105"/>
        </w:rPr>
        <w:t>sor fogalmával,</w:t>
      </w:r>
      <w:r>
        <w:rPr>
          <w:spacing w:val="5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rendszer </w:t>
      </w:r>
      <w:proofErr w:type="spellStart"/>
      <w:r>
        <w:rPr>
          <w:w w:val="105"/>
        </w:rPr>
        <w:t>ortogonalitásával</w:t>
      </w:r>
      <w:proofErr w:type="spellEnd"/>
      <w:r>
        <w:rPr>
          <w:w w:val="105"/>
        </w:rPr>
        <w:t>,</w:t>
      </w:r>
      <w:r>
        <w:rPr>
          <w:spacing w:val="5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Fourier-együtthatók és</w:t>
      </w:r>
      <w:r>
        <w:rPr>
          <w:spacing w:val="1"/>
          <w:w w:val="105"/>
        </w:rPr>
        <w:t xml:space="preserve"> </w:t>
      </w:r>
      <w:r>
        <w:rPr>
          <w:w w:val="105"/>
        </w:rPr>
        <w:t>a Fourier-sor</w:t>
      </w:r>
      <w:r>
        <w:rPr>
          <w:spacing w:val="-55"/>
          <w:w w:val="105"/>
        </w:rPr>
        <w:t xml:space="preserve"> </w:t>
      </w:r>
      <w:r>
        <w:rPr>
          <w:w w:val="110"/>
        </w:rPr>
        <w:t>fogalmával.</w:t>
      </w:r>
    </w:p>
    <w:p w14:paraId="554E8EAC" w14:textId="77777777" w:rsidR="00EF30A2" w:rsidRDefault="00EF30A2" w:rsidP="00EF30A2">
      <w:pPr>
        <w:pStyle w:val="Szvegtrzs"/>
        <w:spacing w:before="1"/>
      </w:pP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45</w:t>
      </w:r>
      <w:r>
        <w:rPr>
          <w:spacing w:val="14"/>
          <w:w w:val="105"/>
        </w:rPr>
        <w:t xml:space="preserve"> </w:t>
      </w:r>
      <w:r>
        <w:rPr>
          <w:w w:val="105"/>
        </w:rPr>
        <w:t>perces</w:t>
      </w:r>
      <w:r>
        <w:rPr>
          <w:spacing w:val="15"/>
          <w:w w:val="105"/>
        </w:rPr>
        <w:t xml:space="preserve"> </w:t>
      </w:r>
      <w:r>
        <w:rPr>
          <w:w w:val="105"/>
        </w:rPr>
        <w:t>előadás</w:t>
      </w:r>
      <w:r>
        <w:rPr>
          <w:spacing w:val="14"/>
          <w:w w:val="105"/>
        </w:rPr>
        <w:t xml:space="preserve"> </w:t>
      </w:r>
      <w:r>
        <w:rPr>
          <w:w w:val="105"/>
        </w:rPr>
        <w:t>tervezett</w:t>
      </w:r>
      <w:r>
        <w:rPr>
          <w:spacing w:val="15"/>
          <w:w w:val="105"/>
        </w:rPr>
        <w:t xml:space="preserve"> </w:t>
      </w:r>
      <w:r>
        <w:rPr>
          <w:w w:val="105"/>
        </w:rPr>
        <w:t>vázlata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5"/>
          <w:w w:val="105"/>
        </w:rPr>
        <w:t xml:space="preserve"> </w:t>
      </w:r>
      <w:r>
        <w:rPr>
          <w:w w:val="105"/>
        </w:rPr>
        <w:t>következő:</w:t>
      </w:r>
    </w:p>
    <w:p w14:paraId="41C4416A" w14:textId="77777777" w:rsidR="00EF30A2" w:rsidRDefault="00EF30A2" w:rsidP="00EF30A2">
      <w:pPr>
        <w:pStyle w:val="Listaszerbekezds"/>
        <w:numPr>
          <w:ilvl w:val="1"/>
          <w:numId w:val="2"/>
        </w:numPr>
        <w:tabs>
          <w:tab w:val="left" w:pos="1136"/>
        </w:tabs>
        <w:spacing w:before="99"/>
        <w:ind w:hanging="280"/>
      </w:pPr>
      <w:r>
        <w:rPr>
          <w:w w:val="105"/>
        </w:rPr>
        <w:t>Emlékeztető</w:t>
      </w:r>
      <w:r>
        <w:rPr>
          <w:spacing w:val="27"/>
          <w:w w:val="105"/>
        </w:rPr>
        <w:t xml:space="preserve"> </w:t>
      </w:r>
      <w:r>
        <w:rPr>
          <w:w w:val="105"/>
        </w:rPr>
        <w:t>a</w:t>
      </w:r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szeparábilis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Hilbert</w:t>
      </w:r>
      <w:proofErr w:type="spellEnd"/>
      <w:r>
        <w:rPr>
          <w:w w:val="105"/>
        </w:rPr>
        <w:t>-terek</w:t>
      </w:r>
      <w:r>
        <w:rPr>
          <w:spacing w:val="27"/>
          <w:w w:val="105"/>
        </w:rPr>
        <w:t xml:space="preserve"> </w:t>
      </w:r>
      <w:r>
        <w:rPr>
          <w:w w:val="105"/>
        </w:rPr>
        <w:t>általános</w:t>
      </w:r>
      <w:r>
        <w:rPr>
          <w:spacing w:val="28"/>
          <w:w w:val="105"/>
        </w:rPr>
        <w:t xml:space="preserve"> </w:t>
      </w:r>
      <w:r>
        <w:rPr>
          <w:w w:val="105"/>
        </w:rPr>
        <w:t>elméletéről.</w:t>
      </w:r>
    </w:p>
    <w:p w14:paraId="210E4CB0" w14:textId="77777777" w:rsidR="00EF30A2" w:rsidRDefault="00EF30A2" w:rsidP="00EF30A2">
      <w:pPr>
        <w:pStyle w:val="Listaszerbekezds"/>
        <w:numPr>
          <w:ilvl w:val="1"/>
          <w:numId w:val="2"/>
        </w:numPr>
        <w:tabs>
          <w:tab w:val="left" w:pos="1136"/>
        </w:tabs>
        <w:spacing w:before="93"/>
        <w:ind w:hanging="280"/>
      </w:pPr>
      <w:r>
        <w:rPr>
          <w:w w:val="105"/>
        </w:rPr>
        <w:t>Az</w:t>
      </w:r>
      <w:r>
        <w:rPr>
          <w:spacing w:val="11"/>
          <w:w w:val="105"/>
        </w:rPr>
        <w:t xml:space="preserve"> </w:t>
      </w:r>
      <w:r>
        <w:rPr>
          <w:w w:val="105"/>
        </w:rPr>
        <w:t>általános</w:t>
      </w:r>
      <w:r>
        <w:rPr>
          <w:spacing w:val="12"/>
          <w:w w:val="105"/>
        </w:rPr>
        <w:t xml:space="preserve"> </w:t>
      </w:r>
      <w:r>
        <w:rPr>
          <w:w w:val="105"/>
        </w:rPr>
        <w:t>elmélet</w:t>
      </w:r>
      <w:r>
        <w:rPr>
          <w:spacing w:val="11"/>
          <w:w w:val="105"/>
        </w:rPr>
        <w:t xml:space="preserve"> </w:t>
      </w:r>
      <w:r>
        <w:rPr>
          <w:w w:val="105"/>
        </w:rPr>
        <w:t>következményei</w:t>
      </w:r>
      <w:r>
        <w:rPr>
          <w:spacing w:val="12"/>
          <w:w w:val="105"/>
        </w:rPr>
        <w:t xml:space="preserve"> </w:t>
      </w:r>
      <w:r>
        <w:rPr>
          <w:w w:val="105"/>
        </w:rPr>
        <w:t>a</w:t>
      </w:r>
      <w:r>
        <w:rPr>
          <w:spacing w:val="12"/>
          <w:w w:val="105"/>
        </w:rPr>
        <w:t xml:space="preserve"> </w:t>
      </w:r>
      <w:r>
        <w:rPr>
          <w:w w:val="105"/>
        </w:rPr>
        <w:t>trigonometrikus</w:t>
      </w:r>
      <w:r>
        <w:rPr>
          <w:spacing w:val="11"/>
          <w:w w:val="105"/>
        </w:rPr>
        <w:t xml:space="preserve"> </w:t>
      </w:r>
      <w:r>
        <w:rPr>
          <w:w w:val="105"/>
        </w:rPr>
        <w:t>rendszerre</w:t>
      </w:r>
      <w:r>
        <w:rPr>
          <w:spacing w:val="12"/>
          <w:w w:val="105"/>
        </w:rPr>
        <w:t xml:space="preserve"> </w:t>
      </w:r>
      <w:r>
        <w:rPr>
          <w:w w:val="105"/>
        </w:rPr>
        <w:t>nézve.</w:t>
      </w:r>
    </w:p>
    <w:p w14:paraId="3CA0B2DC" w14:textId="0B817E25" w:rsidR="00EF30A2" w:rsidRDefault="00EF30A2" w:rsidP="00EF30A2">
      <w:pPr>
        <w:pStyle w:val="Listaszerbekezds"/>
        <w:numPr>
          <w:ilvl w:val="1"/>
          <w:numId w:val="2"/>
        </w:numPr>
        <w:tabs>
          <w:tab w:val="left" w:pos="1136"/>
        </w:tabs>
        <w:spacing w:before="92"/>
        <w:ind w:hanging="2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CF31E3" wp14:editId="57770180">
                <wp:simplePos x="0" y="0"/>
                <wp:positionH relativeFrom="page">
                  <wp:posOffset>4191635</wp:posOffset>
                </wp:positionH>
                <wp:positionV relativeFrom="paragraph">
                  <wp:posOffset>111125</wp:posOffset>
                </wp:positionV>
                <wp:extent cx="115570" cy="143510"/>
                <wp:effectExtent l="635" t="0" r="0" b="1905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" cy="14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99101" w14:textId="77777777" w:rsidR="00EF30A2" w:rsidRDefault="00EF30A2" w:rsidP="00EF30A2">
                            <w:pPr>
                              <w:spacing w:before="27"/>
                              <w:rPr>
                                <w:rFonts w:ascii="Cambria" w:hAnsi="Cambria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2</w:t>
                            </w:r>
                            <w:r>
                              <w:rPr>
                                <w:rFonts w:ascii="Cambria" w:hAnsi="Cambria"/>
                                <w:i/>
                                <w:sz w:val="16"/>
                              </w:rPr>
                              <w:t>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F31E3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330.05pt;margin-top:8.75pt;width:9.1pt;height: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" filled="f" stroked="f">
                <v:textbox inset="0,0,0,0">
                  <w:txbxContent>
                    <w:p w14:paraId="46B99101" w14:textId="77777777" w:rsidR="00EF30A2" w:rsidRDefault="00EF30A2" w:rsidP="00EF30A2">
                      <w:pPr>
                        <w:spacing w:before="27"/>
                        <w:rPr>
                          <w:rFonts w:ascii="Cambria" w:hAnsi="Cambria"/>
                          <w:i/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</w:rPr>
                        <w:t>2</w:t>
                      </w:r>
                      <w:r>
                        <w:rPr>
                          <w:rFonts w:ascii="Cambria" w:hAnsi="Cambria"/>
                          <w:i/>
                          <w:sz w:val="16"/>
                        </w:rPr>
                        <w:t>π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</w:rPr>
        <w:t>A</w:t>
      </w:r>
      <w:r>
        <w:rPr>
          <w:spacing w:val="15"/>
          <w:w w:val="105"/>
        </w:rPr>
        <w:t xml:space="preserve"> </w:t>
      </w:r>
      <w:r>
        <w:rPr>
          <w:w w:val="105"/>
        </w:rPr>
        <w:t>trigonometrikus</w:t>
      </w:r>
      <w:r>
        <w:rPr>
          <w:spacing w:val="16"/>
          <w:w w:val="105"/>
        </w:rPr>
        <w:t xml:space="preserve"> </w:t>
      </w:r>
      <w:r>
        <w:rPr>
          <w:w w:val="105"/>
        </w:rPr>
        <w:t>rendszer</w:t>
      </w:r>
      <w:r>
        <w:rPr>
          <w:spacing w:val="16"/>
          <w:w w:val="105"/>
        </w:rPr>
        <w:t xml:space="preserve"> </w:t>
      </w:r>
      <w:r>
        <w:rPr>
          <w:w w:val="105"/>
        </w:rPr>
        <w:t>teljessége</w:t>
      </w:r>
      <w:r>
        <w:rPr>
          <w:spacing w:val="17"/>
          <w:w w:val="105"/>
        </w:rPr>
        <w:t xml:space="preserve"> </w:t>
      </w:r>
      <w:r>
        <w:rPr>
          <w:rFonts w:ascii="Georgia" w:hAnsi="Georgia"/>
          <w:i/>
          <w:w w:val="105"/>
        </w:rPr>
        <w:t>L</w:t>
      </w:r>
      <w:r>
        <w:rPr>
          <w:rFonts w:ascii="Trebuchet MS" w:hAnsi="Trebuchet MS"/>
          <w:w w:val="105"/>
          <w:vertAlign w:val="superscript"/>
        </w:rPr>
        <w:t>1</w:t>
      </w:r>
      <w:r>
        <w:rPr>
          <w:rFonts w:ascii="Trebuchet MS" w:hAnsi="Trebuchet MS"/>
          <w:spacing w:val="46"/>
          <w:w w:val="105"/>
        </w:rPr>
        <w:t xml:space="preserve"> </w:t>
      </w:r>
      <w:r>
        <w:rPr>
          <w:w w:val="105"/>
        </w:rPr>
        <w:t>-ben,</w:t>
      </w:r>
      <w:r>
        <w:rPr>
          <w:spacing w:val="16"/>
          <w:w w:val="105"/>
        </w:rPr>
        <w:t xml:space="preserve"> </w:t>
      </w:r>
      <w:r>
        <w:rPr>
          <w:w w:val="105"/>
        </w:rPr>
        <w:t>és</w:t>
      </w:r>
      <w:r>
        <w:rPr>
          <w:spacing w:val="16"/>
          <w:w w:val="105"/>
        </w:rPr>
        <w:t xml:space="preserve"> </w:t>
      </w:r>
      <w:r>
        <w:rPr>
          <w:w w:val="105"/>
        </w:rPr>
        <w:t>ennek</w:t>
      </w:r>
      <w:r>
        <w:rPr>
          <w:spacing w:val="16"/>
          <w:w w:val="105"/>
        </w:rPr>
        <w:t xml:space="preserve"> </w:t>
      </w:r>
      <w:r>
        <w:rPr>
          <w:w w:val="105"/>
        </w:rPr>
        <w:t>bizonyítása.</w:t>
      </w:r>
    </w:p>
    <w:p w14:paraId="7BFA813A" w14:textId="77777777" w:rsidR="00EF30A2" w:rsidRDefault="00EF30A2" w:rsidP="00EF30A2">
      <w:pPr>
        <w:pStyle w:val="Listaszerbekezds"/>
        <w:numPr>
          <w:ilvl w:val="1"/>
          <w:numId w:val="2"/>
        </w:numPr>
        <w:tabs>
          <w:tab w:val="left" w:pos="1136"/>
        </w:tabs>
        <w:spacing w:before="92"/>
        <w:ind w:hanging="280"/>
      </w:pP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teljesség</w:t>
      </w:r>
      <w:r>
        <w:rPr>
          <w:spacing w:val="-9"/>
          <w:w w:val="105"/>
        </w:rPr>
        <w:t xml:space="preserve"> </w:t>
      </w:r>
      <w:r>
        <w:rPr>
          <w:w w:val="105"/>
        </w:rPr>
        <w:t>következményei.</w:t>
      </w:r>
    </w:p>
    <w:p w14:paraId="543C9012" w14:textId="77777777" w:rsidR="00EF30A2" w:rsidRDefault="00EF30A2" w:rsidP="00EF30A2">
      <w:pPr>
        <w:pStyle w:val="Szvegtrzs"/>
        <w:spacing w:before="0"/>
        <w:ind w:left="0"/>
        <w:rPr>
          <w:sz w:val="41"/>
        </w:rPr>
      </w:pPr>
    </w:p>
    <w:p w14:paraId="326FE213" w14:textId="77777777" w:rsidR="00EF30A2" w:rsidRDefault="00EF30A2" w:rsidP="00EF30A2">
      <w:pPr>
        <w:pStyle w:val="Cmsor1"/>
      </w:pPr>
      <w:r>
        <w:rPr>
          <w:spacing w:val="-2"/>
          <w:w w:val="110"/>
        </w:rPr>
        <w:t>Tudományos</w:t>
      </w:r>
      <w:r>
        <w:rPr>
          <w:spacing w:val="-6"/>
          <w:w w:val="110"/>
        </w:rPr>
        <w:t xml:space="preserve"> </w:t>
      </w:r>
      <w:r>
        <w:rPr>
          <w:spacing w:val="-2"/>
          <w:w w:val="110"/>
        </w:rPr>
        <w:t>előadás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vázlata</w:t>
      </w:r>
    </w:p>
    <w:p w14:paraId="0940BD16" w14:textId="77777777" w:rsidR="00EF30A2" w:rsidRDefault="00EF30A2" w:rsidP="00EF30A2">
      <w:pPr>
        <w:pStyle w:val="Cmsor2"/>
        <w:spacing w:before="258"/>
        <w:ind w:left="109" w:firstLine="0"/>
      </w:pPr>
      <w:r>
        <w:rPr>
          <w:rFonts w:ascii="Times New Roman" w:hAnsi="Times New Roman"/>
          <w:b w:val="0"/>
          <w:w w:val="95"/>
        </w:rPr>
        <w:t>Címe:</w:t>
      </w:r>
      <w:r>
        <w:rPr>
          <w:rFonts w:ascii="Times New Roman" w:hAnsi="Times New Roman"/>
          <w:b w:val="0"/>
          <w:spacing w:val="48"/>
          <w:w w:val="95"/>
        </w:rPr>
        <w:t xml:space="preserve"> </w:t>
      </w:r>
      <w:r>
        <w:rPr>
          <w:w w:val="95"/>
        </w:rPr>
        <w:t>Reprezentatív</w:t>
      </w:r>
      <w:r>
        <w:rPr>
          <w:spacing w:val="34"/>
          <w:w w:val="95"/>
        </w:rPr>
        <w:t xml:space="preserve"> </w:t>
      </w:r>
      <w:r>
        <w:rPr>
          <w:w w:val="95"/>
        </w:rPr>
        <w:t>szorzatrendszerek</w:t>
      </w:r>
    </w:p>
    <w:p w14:paraId="13A2A1BA" w14:textId="77777777" w:rsidR="00EF30A2" w:rsidRDefault="00EF30A2" w:rsidP="00EF30A2">
      <w:pPr>
        <w:spacing w:before="171" w:line="256" w:lineRule="auto"/>
        <w:ind w:left="109" w:right="124"/>
        <w:jc w:val="both"/>
      </w:pPr>
      <w:r>
        <w:rPr>
          <w:w w:val="105"/>
        </w:rPr>
        <w:t>A tudományos előadáson ismertetésre kerülnek a „</w:t>
      </w:r>
      <w:proofErr w:type="spellStart"/>
      <w:r>
        <w:rPr>
          <w:i/>
          <w:w w:val="105"/>
        </w:rPr>
        <w:t>Walsh</w:t>
      </w:r>
      <w:proofErr w:type="spellEnd"/>
      <w:r>
        <w:rPr>
          <w:i/>
          <w:w w:val="105"/>
        </w:rPr>
        <w:t>-függvények, általánosításuk és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alkalmazásuk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differenciálegyenletek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megoldásában”</w:t>
      </w:r>
      <w:r>
        <w:rPr>
          <w:i/>
          <w:spacing w:val="-11"/>
          <w:w w:val="105"/>
        </w:rPr>
        <w:t xml:space="preserve"> </w:t>
      </w:r>
      <w:r>
        <w:rPr>
          <w:w w:val="105"/>
        </w:rPr>
        <w:t>című</w:t>
      </w:r>
      <w:r>
        <w:rPr>
          <w:spacing w:val="-10"/>
          <w:w w:val="105"/>
        </w:rPr>
        <w:t xml:space="preserve"> </w:t>
      </w:r>
      <w:r>
        <w:rPr>
          <w:w w:val="105"/>
        </w:rPr>
        <w:t>habilitációs</w:t>
      </w:r>
      <w:r>
        <w:rPr>
          <w:spacing w:val="-9"/>
          <w:w w:val="105"/>
        </w:rPr>
        <w:t xml:space="preserve"> </w:t>
      </w:r>
      <w:r>
        <w:rPr>
          <w:w w:val="105"/>
        </w:rPr>
        <w:t>tézisfüzetben</w:t>
      </w:r>
      <w:r>
        <w:rPr>
          <w:spacing w:val="-10"/>
          <w:w w:val="105"/>
        </w:rPr>
        <w:t xml:space="preserve"> </w:t>
      </w:r>
      <w:r>
        <w:rPr>
          <w:w w:val="105"/>
        </w:rPr>
        <w:t>talál-</w:t>
      </w:r>
      <w:r>
        <w:rPr>
          <w:spacing w:val="-56"/>
          <w:w w:val="105"/>
        </w:rPr>
        <w:t xml:space="preserve"> </w:t>
      </w:r>
      <w:r>
        <w:rPr>
          <w:w w:val="105"/>
        </w:rPr>
        <w:t>ható legfontosabb eredmények, ezeknek előzményei és következményei.</w:t>
      </w:r>
      <w:r>
        <w:rPr>
          <w:spacing w:val="1"/>
          <w:w w:val="105"/>
        </w:rPr>
        <w:t xml:space="preserve"> </w:t>
      </w:r>
      <w:r>
        <w:rPr>
          <w:w w:val="105"/>
        </w:rPr>
        <w:t>A 45 perces</w:t>
      </w:r>
      <w:r>
        <w:rPr>
          <w:spacing w:val="1"/>
          <w:w w:val="105"/>
        </w:rPr>
        <w:t xml:space="preserve"> </w:t>
      </w:r>
      <w:r>
        <w:rPr>
          <w:w w:val="105"/>
        </w:rPr>
        <w:t>előadás</w:t>
      </w:r>
      <w:r>
        <w:rPr>
          <w:spacing w:val="14"/>
          <w:w w:val="105"/>
        </w:rPr>
        <w:t xml:space="preserve"> </w:t>
      </w:r>
      <w:r>
        <w:rPr>
          <w:w w:val="105"/>
        </w:rPr>
        <w:t>tervezett</w:t>
      </w:r>
      <w:r>
        <w:rPr>
          <w:spacing w:val="15"/>
          <w:w w:val="105"/>
        </w:rPr>
        <w:t xml:space="preserve"> </w:t>
      </w:r>
      <w:r>
        <w:rPr>
          <w:w w:val="105"/>
        </w:rPr>
        <w:t>vázlata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5"/>
          <w:w w:val="105"/>
        </w:rPr>
        <w:t xml:space="preserve"> </w:t>
      </w:r>
      <w:r>
        <w:rPr>
          <w:w w:val="105"/>
        </w:rPr>
        <w:t>következő:</w:t>
      </w:r>
    </w:p>
    <w:p w14:paraId="612320E7" w14:textId="77777777" w:rsidR="00EF30A2" w:rsidRDefault="00EF30A2" w:rsidP="00EF30A2">
      <w:pPr>
        <w:pStyle w:val="Listaszerbekezds"/>
        <w:numPr>
          <w:ilvl w:val="0"/>
          <w:numId w:val="1"/>
        </w:numPr>
        <w:tabs>
          <w:tab w:val="left" w:pos="656"/>
        </w:tabs>
        <w:spacing w:before="240" w:line="256" w:lineRule="auto"/>
        <w:ind w:right="123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Walsh</w:t>
      </w:r>
      <w:proofErr w:type="spellEnd"/>
      <w:r>
        <w:rPr>
          <w:w w:val="105"/>
        </w:rPr>
        <w:t>–</w:t>
      </w:r>
      <w:proofErr w:type="spellStart"/>
      <w:r>
        <w:rPr>
          <w:w w:val="105"/>
        </w:rPr>
        <w:t>Paley</w:t>
      </w:r>
      <w:proofErr w:type="spellEnd"/>
      <w:r>
        <w:rPr>
          <w:w w:val="105"/>
        </w:rPr>
        <w:t>-rendszer, magfüggvények és operátorok.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Lebesgue</w:t>
      </w:r>
      <w:proofErr w:type="spellEnd"/>
      <w:r>
        <w:rPr>
          <w:w w:val="105"/>
        </w:rPr>
        <w:t>-konstansok</w:t>
      </w:r>
      <w:r>
        <w:rPr>
          <w:spacing w:val="1"/>
          <w:w w:val="105"/>
        </w:rPr>
        <w:t xml:space="preserve"> </w:t>
      </w:r>
      <w:r>
        <w:rPr>
          <w:w w:val="105"/>
        </w:rPr>
        <w:t>iterációs formulája és ennek következményei.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trigonometrikus rendszerre </w:t>
      </w:r>
      <w:proofErr w:type="spellStart"/>
      <w:r>
        <w:rPr>
          <w:w w:val="105"/>
        </w:rPr>
        <w:t>vo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natkozó</w:t>
      </w:r>
      <w:proofErr w:type="spellEnd"/>
      <w:r>
        <w:rPr>
          <w:w w:val="105"/>
        </w:rPr>
        <w:t xml:space="preserve"> eredmények. A </w:t>
      </w:r>
      <w:proofErr w:type="spellStart"/>
      <w:r>
        <w:rPr>
          <w:w w:val="105"/>
        </w:rPr>
        <w:t>Walsh</w:t>
      </w:r>
      <w:proofErr w:type="spellEnd"/>
      <w:r>
        <w:rPr>
          <w:w w:val="105"/>
        </w:rPr>
        <w:t xml:space="preserve">–Fejér-magok </w:t>
      </w:r>
      <w:r>
        <w:rPr>
          <w:rFonts w:ascii="Georgia" w:hAnsi="Georgia"/>
          <w:i/>
          <w:w w:val="105"/>
        </w:rPr>
        <w:t>L</w:t>
      </w:r>
      <w:r>
        <w:rPr>
          <w:rFonts w:ascii="Trebuchet MS" w:hAnsi="Trebuchet MS"/>
          <w:w w:val="105"/>
          <w:vertAlign w:val="superscript"/>
        </w:rPr>
        <w:t>1</w:t>
      </w:r>
      <w:r>
        <w:rPr>
          <w:w w:val="105"/>
        </w:rPr>
        <w:t>-beli normája, ismert eredmények,</w:t>
      </w:r>
      <w:r>
        <w:rPr>
          <w:spacing w:val="1"/>
          <w:w w:val="105"/>
        </w:rPr>
        <w:t xml:space="preserve"> </w:t>
      </w:r>
      <w:r>
        <w:rPr>
          <w:w w:val="105"/>
        </w:rPr>
        <w:t>egyéni</w:t>
      </w:r>
      <w:r>
        <w:rPr>
          <w:spacing w:val="13"/>
          <w:w w:val="105"/>
        </w:rPr>
        <w:t xml:space="preserve"> </w:t>
      </w:r>
      <w:r>
        <w:rPr>
          <w:w w:val="105"/>
        </w:rPr>
        <w:t>motiváció.</w:t>
      </w:r>
    </w:p>
    <w:p w14:paraId="1BB230EF" w14:textId="77777777" w:rsidR="00EF30A2" w:rsidRDefault="00EF30A2" w:rsidP="00EF30A2">
      <w:pPr>
        <w:pStyle w:val="Listaszerbekezds"/>
        <w:numPr>
          <w:ilvl w:val="0"/>
          <w:numId w:val="1"/>
        </w:numPr>
        <w:tabs>
          <w:tab w:val="left" w:pos="656"/>
        </w:tabs>
        <w:spacing w:before="177" w:line="254" w:lineRule="auto"/>
        <w:ind w:right="126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Walsh</w:t>
      </w:r>
      <w:proofErr w:type="spellEnd"/>
      <w:r>
        <w:rPr>
          <w:w w:val="105"/>
        </w:rPr>
        <w:t xml:space="preserve">–Fejér-magok </w:t>
      </w:r>
      <w:r>
        <w:rPr>
          <w:rFonts w:ascii="Georgia" w:hAnsi="Georgia"/>
          <w:i/>
          <w:w w:val="105"/>
        </w:rPr>
        <w:t>L</w:t>
      </w:r>
      <w:r>
        <w:rPr>
          <w:rFonts w:ascii="Trebuchet MS" w:hAnsi="Trebuchet MS"/>
          <w:w w:val="105"/>
          <w:vertAlign w:val="superscript"/>
        </w:rPr>
        <w:t>1</w:t>
      </w:r>
      <w:r>
        <w:rPr>
          <w:w w:val="105"/>
        </w:rPr>
        <w:t>-beli normája előállítása iterációs formulával, és ennek</w:t>
      </w:r>
      <w:r>
        <w:rPr>
          <w:spacing w:val="1"/>
          <w:w w:val="105"/>
        </w:rPr>
        <w:t xml:space="preserve"> </w:t>
      </w:r>
      <w:r>
        <w:rPr>
          <w:w w:val="105"/>
        </w:rPr>
        <w:t>következményei.</w:t>
      </w:r>
      <w:r>
        <w:rPr>
          <w:spacing w:val="37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Walsh</w:t>
      </w:r>
      <w:proofErr w:type="spellEnd"/>
      <w:r>
        <w:rPr>
          <w:w w:val="105"/>
        </w:rPr>
        <w:t>–Fejér-magok</w:t>
      </w:r>
      <w:r>
        <w:rPr>
          <w:spacing w:val="12"/>
          <w:w w:val="105"/>
        </w:rPr>
        <w:t xml:space="preserve"> </w:t>
      </w:r>
      <w:r>
        <w:rPr>
          <w:rFonts w:ascii="Georgia" w:hAnsi="Georgia"/>
          <w:i/>
          <w:w w:val="105"/>
        </w:rPr>
        <w:t>L</w:t>
      </w:r>
      <w:r>
        <w:rPr>
          <w:rFonts w:ascii="Trebuchet MS" w:hAnsi="Trebuchet MS"/>
          <w:w w:val="105"/>
          <w:vertAlign w:val="superscript"/>
        </w:rPr>
        <w:t>1</w:t>
      </w:r>
      <w:r>
        <w:rPr>
          <w:w w:val="105"/>
        </w:rPr>
        <w:t>-beli</w:t>
      </w:r>
      <w:r>
        <w:rPr>
          <w:spacing w:val="14"/>
          <w:w w:val="105"/>
        </w:rPr>
        <w:t xml:space="preserve"> </w:t>
      </w:r>
      <w:r>
        <w:rPr>
          <w:w w:val="105"/>
        </w:rPr>
        <w:t>normájának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szuprémuma</w:t>
      </w:r>
      <w:proofErr w:type="spellEnd"/>
      <w:r>
        <w:rPr>
          <w:w w:val="105"/>
        </w:rPr>
        <w:t>.</w:t>
      </w:r>
    </w:p>
    <w:p w14:paraId="1E0C13B3" w14:textId="77777777" w:rsidR="00EF30A2" w:rsidRDefault="00EF30A2" w:rsidP="00EF30A2">
      <w:pPr>
        <w:pStyle w:val="Listaszerbekezds"/>
        <w:numPr>
          <w:ilvl w:val="0"/>
          <w:numId w:val="1"/>
        </w:numPr>
        <w:tabs>
          <w:tab w:val="left" w:pos="656"/>
        </w:tabs>
        <w:spacing w:before="181" w:line="256" w:lineRule="auto"/>
        <w:ind w:right="125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reprezentatív</w:t>
      </w:r>
      <w:r>
        <w:rPr>
          <w:spacing w:val="1"/>
          <w:w w:val="105"/>
        </w:rPr>
        <w:t xml:space="preserve"> </w:t>
      </w:r>
      <w:r>
        <w:rPr>
          <w:w w:val="105"/>
        </w:rPr>
        <w:t>szorzatrendszerek</w:t>
      </w:r>
      <w:r>
        <w:rPr>
          <w:spacing w:val="1"/>
          <w:w w:val="105"/>
        </w:rPr>
        <w:t xml:space="preserve"> </w:t>
      </w:r>
      <w:r>
        <w:rPr>
          <w:w w:val="105"/>
        </w:rPr>
        <w:t>mint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Walsh</w:t>
      </w:r>
      <w:proofErr w:type="spellEnd"/>
      <w:r>
        <w:rPr>
          <w:w w:val="105"/>
        </w:rPr>
        <w:t>–</w:t>
      </w:r>
      <w:proofErr w:type="spellStart"/>
      <w:r>
        <w:rPr>
          <w:w w:val="105"/>
        </w:rPr>
        <w:t>Paley</w:t>
      </w:r>
      <w:proofErr w:type="spellEnd"/>
      <w:r>
        <w:rPr>
          <w:w w:val="105"/>
        </w:rPr>
        <w:t>-rendszer</w:t>
      </w:r>
      <w:r>
        <w:rPr>
          <w:spacing w:val="1"/>
          <w:w w:val="105"/>
        </w:rPr>
        <w:t xml:space="preserve"> </w:t>
      </w:r>
      <w:r>
        <w:rPr>
          <w:w w:val="105"/>
        </w:rPr>
        <w:t>általánosításai,</w:t>
      </w:r>
      <w:r>
        <w:rPr>
          <w:spacing w:val="1"/>
          <w:w w:val="105"/>
        </w:rPr>
        <w:t xml:space="preserve"> </w:t>
      </w:r>
      <w:r>
        <w:rPr>
          <w:w w:val="105"/>
        </w:rPr>
        <w:t>nevezetes</w:t>
      </w:r>
      <w:r>
        <w:rPr>
          <w:spacing w:val="14"/>
          <w:w w:val="105"/>
        </w:rPr>
        <w:t xml:space="preserve"> </w:t>
      </w:r>
      <w:r>
        <w:rPr>
          <w:w w:val="105"/>
        </w:rPr>
        <w:t>példák.</w:t>
      </w:r>
    </w:p>
    <w:p w14:paraId="505C6975" w14:textId="77777777" w:rsidR="00EF30A2" w:rsidRDefault="00EF30A2" w:rsidP="00EF30A2">
      <w:pPr>
        <w:pStyle w:val="Listaszerbekezds"/>
        <w:numPr>
          <w:ilvl w:val="0"/>
          <w:numId w:val="1"/>
        </w:numPr>
        <w:tabs>
          <w:tab w:val="left" w:pos="656"/>
        </w:tabs>
        <w:spacing w:before="176" w:line="254" w:lineRule="auto"/>
        <w:ind w:right="126"/>
        <w:jc w:val="both"/>
      </w:pPr>
      <w:r>
        <w:rPr>
          <w:w w:val="105"/>
        </w:rPr>
        <w:t xml:space="preserve">A reprezentatív szorzatrendszerekre vonatkozó Fourier-sorok </w:t>
      </w:r>
      <w:proofErr w:type="spellStart"/>
      <w:r>
        <w:rPr>
          <w:rFonts w:ascii="Georgia" w:hAnsi="Georgia"/>
          <w:i/>
          <w:w w:val="105"/>
        </w:rPr>
        <w:t>L</w:t>
      </w:r>
      <w:r>
        <w:rPr>
          <w:rFonts w:ascii="Cambria" w:hAnsi="Cambria"/>
          <w:i/>
          <w:w w:val="105"/>
          <w:vertAlign w:val="superscript"/>
        </w:rPr>
        <w:t>p</w:t>
      </w:r>
      <w:r>
        <w:rPr>
          <w:w w:val="105"/>
        </w:rPr>
        <w:t>-normakonvergen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ciája</w:t>
      </w:r>
      <w:proofErr w:type="spellEnd"/>
      <w:r>
        <w:rPr>
          <w:spacing w:val="14"/>
          <w:w w:val="105"/>
        </w:rPr>
        <w:t xml:space="preserve"> </w:t>
      </w:r>
      <w:r>
        <w:rPr>
          <w:w w:val="105"/>
        </w:rPr>
        <w:t>és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Cesàro</w:t>
      </w:r>
      <w:proofErr w:type="spellEnd"/>
      <w:r>
        <w:rPr>
          <w:w w:val="105"/>
        </w:rPr>
        <w:t>-közepek</w:t>
      </w:r>
      <w:r>
        <w:rPr>
          <w:spacing w:val="13"/>
          <w:w w:val="105"/>
        </w:rPr>
        <w:t xml:space="preserve"> </w:t>
      </w:r>
      <w:r>
        <w:rPr>
          <w:rFonts w:ascii="Georgia" w:hAnsi="Georgia"/>
          <w:i/>
          <w:w w:val="105"/>
        </w:rPr>
        <w:t>L</w:t>
      </w:r>
      <w:r>
        <w:rPr>
          <w:rFonts w:ascii="Trebuchet MS" w:hAnsi="Trebuchet MS"/>
          <w:w w:val="105"/>
          <w:vertAlign w:val="superscript"/>
        </w:rPr>
        <w:t>1</w:t>
      </w:r>
      <w:r>
        <w:rPr>
          <w:w w:val="105"/>
        </w:rPr>
        <w:t>-normakonvergenciája.</w:t>
      </w:r>
    </w:p>
    <w:p w14:paraId="04468686" w14:textId="77777777" w:rsidR="00EF30A2" w:rsidRDefault="00EF30A2" w:rsidP="00EF30A2">
      <w:pPr>
        <w:pStyle w:val="Listaszerbekezds"/>
        <w:numPr>
          <w:ilvl w:val="0"/>
          <w:numId w:val="1"/>
        </w:numPr>
        <w:tabs>
          <w:tab w:val="left" w:pos="656"/>
        </w:tabs>
        <w:spacing w:before="181" w:line="256" w:lineRule="auto"/>
        <w:ind w:right="124"/>
        <w:jc w:val="both"/>
      </w:pPr>
      <w:proofErr w:type="spellStart"/>
      <w:r>
        <w:rPr>
          <w:w w:val="105"/>
        </w:rPr>
        <w:t>Walsh</w:t>
      </w:r>
      <w:proofErr w:type="spellEnd"/>
      <w:r>
        <w:rPr>
          <w:w w:val="105"/>
        </w:rPr>
        <w:t>-függvények</w:t>
      </w:r>
      <w:r>
        <w:rPr>
          <w:spacing w:val="-11"/>
          <w:w w:val="105"/>
        </w:rPr>
        <w:t xml:space="preserve"> </w:t>
      </w:r>
      <w:r>
        <w:rPr>
          <w:w w:val="105"/>
        </w:rPr>
        <w:t>alkalmazása</w:t>
      </w:r>
      <w:r>
        <w:rPr>
          <w:spacing w:val="-10"/>
          <w:w w:val="105"/>
        </w:rPr>
        <w:t xml:space="preserve"> </w:t>
      </w:r>
      <w:r>
        <w:rPr>
          <w:w w:val="105"/>
        </w:rPr>
        <w:t>elsőrendű</w:t>
      </w:r>
      <w:r>
        <w:rPr>
          <w:spacing w:val="-11"/>
          <w:w w:val="105"/>
        </w:rPr>
        <w:t xml:space="preserve"> </w:t>
      </w:r>
      <w:r>
        <w:rPr>
          <w:w w:val="105"/>
        </w:rPr>
        <w:t>lineáris</w:t>
      </w:r>
      <w:r>
        <w:rPr>
          <w:spacing w:val="-10"/>
          <w:w w:val="105"/>
        </w:rPr>
        <w:t xml:space="preserve"> </w:t>
      </w:r>
      <w:r>
        <w:rPr>
          <w:w w:val="105"/>
        </w:rPr>
        <w:t>differenciálegyenletek</w:t>
      </w:r>
      <w:r>
        <w:rPr>
          <w:spacing w:val="-11"/>
          <w:w w:val="105"/>
        </w:rPr>
        <w:t xml:space="preserve"> </w:t>
      </w:r>
      <w:r>
        <w:rPr>
          <w:w w:val="105"/>
        </w:rPr>
        <w:t>numerikus</w:t>
      </w:r>
      <w:r>
        <w:rPr>
          <w:spacing w:val="-55"/>
          <w:w w:val="105"/>
        </w:rPr>
        <w:t xml:space="preserve"> </w:t>
      </w:r>
      <w:r>
        <w:rPr>
          <w:w w:val="105"/>
        </w:rPr>
        <w:t xml:space="preserve">megoldásában: egyéni motiváció, előzetes eredmények, az algoritmus leírása, </w:t>
      </w:r>
      <w:proofErr w:type="spellStart"/>
      <w:r>
        <w:rPr>
          <w:w w:val="105"/>
        </w:rPr>
        <w:t>imp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lementációja</w:t>
      </w:r>
      <w:proofErr w:type="spellEnd"/>
      <w:r>
        <w:rPr>
          <w:spacing w:val="15"/>
          <w:w w:val="105"/>
        </w:rPr>
        <w:t xml:space="preserve"> </w:t>
      </w:r>
      <w:r>
        <w:rPr>
          <w:w w:val="105"/>
        </w:rPr>
        <w:t>és</w:t>
      </w:r>
      <w:r>
        <w:rPr>
          <w:spacing w:val="15"/>
          <w:w w:val="105"/>
        </w:rPr>
        <w:t xml:space="preserve"> </w:t>
      </w:r>
      <w:r>
        <w:rPr>
          <w:w w:val="105"/>
        </w:rPr>
        <w:t>néhány</w:t>
      </w:r>
      <w:r>
        <w:rPr>
          <w:spacing w:val="15"/>
          <w:w w:val="105"/>
        </w:rPr>
        <w:t xml:space="preserve"> </w:t>
      </w:r>
      <w:r>
        <w:rPr>
          <w:w w:val="105"/>
        </w:rPr>
        <w:t>futtatásai</w:t>
      </w:r>
      <w:r>
        <w:rPr>
          <w:spacing w:val="15"/>
          <w:w w:val="105"/>
        </w:rPr>
        <w:t xml:space="preserve"> </w:t>
      </w:r>
      <w:r>
        <w:rPr>
          <w:w w:val="105"/>
        </w:rPr>
        <w:t>eredmény.</w:t>
      </w:r>
    </w:p>
    <w:p w14:paraId="680D5E9D" w14:textId="77777777" w:rsidR="00EF30A2" w:rsidRDefault="00EF30A2"/>
    <w:sectPr w:rsidR="00EF30A2" w:rsidSect="00EF30A2">
      <w:pgSz w:w="11910" w:h="16840" w:code="9"/>
      <w:pgMar w:top="1378" w:right="1678" w:bottom="278" w:left="167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3262B"/>
    <w:multiLevelType w:val="hybridMultilevel"/>
    <w:tmpl w:val="FDB47FC0"/>
    <w:lvl w:ilvl="0" w:tplc="4E84AF0A">
      <w:numFmt w:val="bullet"/>
      <w:lvlText w:val="•"/>
      <w:lvlJc w:val="left"/>
      <w:pPr>
        <w:ind w:left="655" w:hanging="279"/>
      </w:pPr>
      <w:rPr>
        <w:rFonts w:ascii="Microsoft Sans Serif" w:eastAsia="Microsoft Sans Serif" w:hAnsi="Microsoft Sans Serif" w:cs="Microsoft Sans Serif" w:hint="default"/>
        <w:w w:val="220"/>
        <w:sz w:val="22"/>
        <w:szCs w:val="22"/>
        <w:lang w:val="hu-HU" w:eastAsia="en-US" w:bidi="ar-SA"/>
      </w:rPr>
    </w:lvl>
    <w:lvl w:ilvl="1" w:tplc="AA0E661E">
      <w:numFmt w:val="bullet"/>
      <w:lvlText w:val="•"/>
      <w:lvlJc w:val="left"/>
      <w:pPr>
        <w:ind w:left="1448" w:hanging="279"/>
      </w:pPr>
      <w:rPr>
        <w:rFonts w:hint="default"/>
        <w:lang w:val="hu-HU" w:eastAsia="en-US" w:bidi="ar-SA"/>
      </w:rPr>
    </w:lvl>
    <w:lvl w:ilvl="2" w:tplc="FAE4A10C">
      <w:numFmt w:val="bullet"/>
      <w:lvlText w:val="•"/>
      <w:lvlJc w:val="left"/>
      <w:pPr>
        <w:ind w:left="2237" w:hanging="279"/>
      </w:pPr>
      <w:rPr>
        <w:rFonts w:hint="default"/>
        <w:lang w:val="hu-HU" w:eastAsia="en-US" w:bidi="ar-SA"/>
      </w:rPr>
    </w:lvl>
    <w:lvl w:ilvl="3" w:tplc="C1D47F06">
      <w:numFmt w:val="bullet"/>
      <w:lvlText w:val="•"/>
      <w:lvlJc w:val="left"/>
      <w:pPr>
        <w:ind w:left="3025" w:hanging="279"/>
      </w:pPr>
      <w:rPr>
        <w:rFonts w:hint="default"/>
        <w:lang w:val="hu-HU" w:eastAsia="en-US" w:bidi="ar-SA"/>
      </w:rPr>
    </w:lvl>
    <w:lvl w:ilvl="4" w:tplc="8984FD2A">
      <w:numFmt w:val="bullet"/>
      <w:lvlText w:val="•"/>
      <w:lvlJc w:val="left"/>
      <w:pPr>
        <w:ind w:left="3814" w:hanging="279"/>
      </w:pPr>
      <w:rPr>
        <w:rFonts w:hint="default"/>
        <w:lang w:val="hu-HU" w:eastAsia="en-US" w:bidi="ar-SA"/>
      </w:rPr>
    </w:lvl>
    <w:lvl w:ilvl="5" w:tplc="E8CA1ED2">
      <w:numFmt w:val="bullet"/>
      <w:lvlText w:val="•"/>
      <w:lvlJc w:val="left"/>
      <w:pPr>
        <w:ind w:left="4602" w:hanging="279"/>
      </w:pPr>
      <w:rPr>
        <w:rFonts w:hint="default"/>
        <w:lang w:val="hu-HU" w:eastAsia="en-US" w:bidi="ar-SA"/>
      </w:rPr>
    </w:lvl>
    <w:lvl w:ilvl="6" w:tplc="A9943DE0">
      <w:numFmt w:val="bullet"/>
      <w:lvlText w:val="•"/>
      <w:lvlJc w:val="left"/>
      <w:pPr>
        <w:ind w:left="5391" w:hanging="279"/>
      </w:pPr>
      <w:rPr>
        <w:rFonts w:hint="default"/>
        <w:lang w:val="hu-HU" w:eastAsia="en-US" w:bidi="ar-SA"/>
      </w:rPr>
    </w:lvl>
    <w:lvl w:ilvl="7" w:tplc="1D14E4EC">
      <w:numFmt w:val="bullet"/>
      <w:lvlText w:val="•"/>
      <w:lvlJc w:val="left"/>
      <w:pPr>
        <w:ind w:left="6179" w:hanging="279"/>
      </w:pPr>
      <w:rPr>
        <w:rFonts w:hint="default"/>
        <w:lang w:val="hu-HU" w:eastAsia="en-US" w:bidi="ar-SA"/>
      </w:rPr>
    </w:lvl>
    <w:lvl w:ilvl="8" w:tplc="CAA83682">
      <w:numFmt w:val="bullet"/>
      <w:lvlText w:val="•"/>
      <w:lvlJc w:val="left"/>
      <w:pPr>
        <w:ind w:left="6968" w:hanging="279"/>
      </w:pPr>
      <w:rPr>
        <w:rFonts w:hint="default"/>
        <w:lang w:val="hu-HU" w:eastAsia="en-US" w:bidi="ar-SA"/>
      </w:rPr>
    </w:lvl>
  </w:abstractNum>
  <w:abstractNum w:abstractNumId="1" w15:restartNumberingAfterBreak="0">
    <w:nsid w:val="4C063D2E"/>
    <w:multiLevelType w:val="hybridMultilevel"/>
    <w:tmpl w:val="89FCF294"/>
    <w:lvl w:ilvl="0" w:tplc="C4E2A7AE">
      <w:start w:val="1"/>
      <w:numFmt w:val="decimal"/>
      <w:lvlText w:val="%1."/>
      <w:lvlJc w:val="left"/>
      <w:pPr>
        <w:ind w:left="416" w:hanging="307"/>
        <w:jc w:val="left"/>
      </w:pPr>
      <w:rPr>
        <w:rFonts w:ascii="Georgia" w:eastAsia="Georgia" w:hAnsi="Georgia" w:cs="Georgia" w:hint="default"/>
        <w:b/>
        <w:bCs/>
        <w:w w:val="108"/>
        <w:sz w:val="22"/>
        <w:szCs w:val="22"/>
        <w:lang w:val="hu-HU" w:eastAsia="en-US" w:bidi="ar-SA"/>
      </w:rPr>
    </w:lvl>
    <w:lvl w:ilvl="1" w:tplc="565A1896">
      <w:numFmt w:val="bullet"/>
      <w:lvlText w:val="•"/>
      <w:lvlJc w:val="left"/>
      <w:pPr>
        <w:ind w:left="1135" w:hanging="279"/>
      </w:pPr>
      <w:rPr>
        <w:rFonts w:ascii="Microsoft Sans Serif" w:eastAsia="Microsoft Sans Serif" w:hAnsi="Microsoft Sans Serif" w:cs="Microsoft Sans Serif" w:hint="default"/>
        <w:w w:val="220"/>
        <w:sz w:val="22"/>
        <w:szCs w:val="22"/>
        <w:lang w:val="hu-HU" w:eastAsia="en-US" w:bidi="ar-SA"/>
      </w:rPr>
    </w:lvl>
    <w:lvl w:ilvl="2" w:tplc="81B8E394">
      <w:numFmt w:val="bullet"/>
      <w:lvlText w:val="•"/>
      <w:lvlJc w:val="left"/>
      <w:pPr>
        <w:ind w:left="1962" w:hanging="279"/>
      </w:pPr>
      <w:rPr>
        <w:rFonts w:hint="default"/>
        <w:lang w:val="hu-HU" w:eastAsia="en-US" w:bidi="ar-SA"/>
      </w:rPr>
    </w:lvl>
    <w:lvl w:ilvl="3" w:tplc="3EA0024E">
      <w:numFmt w:val="bullet"/>
      <w:lvlText w:val="•"/>
      <w:lvlJc w:val="left"/>
      <w:pPr>
        <w:ind w:left="2785" w:hanging="279"/>
      </w:pPr>
      <w:rPr>
        <w:rFonts w:hint="default"/>
        <w:lang w:val="hu-HU" w:eastAsia="en-US" w:bidi="ar-SA"/>
      </w:rPr>
    </w:lvl>
    <w:lvl w:ilvl="4" w:tplc="B6E60E06">
      <w:numFmt w:val="bullet"/>
      <w:lvlText w:val="•"/>
      <w:lvlJc w:val="left"/>
      <w:pPr>
        <w:ind w:left="3608" w:hanging="279"/>
      </w:pPr>
      <w:rPr>
        <w:rFonts w:hint="default"/>
        <w:lang w:val="hu-HU" w:eastAsia="en-US" w:bidi="ar-SA"/>
      </w:rPr>
    </w:lvl>
    <w:lvl w:ilvl="5" w:tplc="7FA2E02E">
      <w:numFmt w:val="bullet"/>
      <w:lvlText w:val="•"/>
      <w:lvlJc w:val="left"/>
      <w:pPr>
        <w:ind w:left="4431" w:hanging="279"/>
      </w:pPr>
      <w:rPr>
        <w:rFonts w:hint="default"/>
        <w:lang w:val="hu-HU" w:eastAsia="en-US" w:bidi="ar-SA"/>
      </w:rPr>
    </w:lvl>
    <w:lvl w:ilvl="6" w:tplc="07D83EDA">
      <w:numFmt w:val="bullet"/>
      <w:lvlText w:val="•"/>
      <w:lvlJc w:val="left"/>
      <w:pPr>
        <w:ind w:left="5254" w:hanging="279"/>
      </w:pPr>
      <w:rPr>
        <w:rFonts w:hint="default"/>
        <w:lang w:val="hu-HU" w:eastAsia="en-US" w:bidi="ar-SA"/>
      </w:rPr>
    </w:lvl>
    <w:lvl w:ilvl="7" w:tplc="A036DCBE">
      <w:numFmt w:val="bullet"/>
      <w:lvlText w:val="•"/>
      <w:lvlJc w:val="left"/>
      <w:pPr>
        <w:ind w:left="6077" w:hanging="279"/>
      </w:pPr>
      <w:rPr>
        <w:rFonts w:hint="default"/>
        <w:lang w:val="hu-HU" w:eastAsia="en-US" w:bidi="ar-SA"/>
      </w:rPr>
    </w:lvl>
    <w:lvl w:ilvl="8" w:tplc="DD6E8172">
      <w:numFmt w:val="bullet"/>
      <w:lvlText w:val="•"/>
      <w:lvlJc w:val="left"/>
      <w:pPr>
        <w:ind w:left="6899" w:hanging="279"/>
      </w:pPr>
      <w:rPr>
        <w:rFonts w:hint="default"/>
        <w:lang w:val="hu-H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A2"/>
    <w:rsid w:val="004E76AD"/>
    <w:rsid w:val="00EF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A398DE"/>
  <w15:chartTrackingRefBased/>
  <w15:docId w15:val="{6FF739F8-BB53-4A81-A93F-59C28C7F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30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link w:val="Cmsor1Char"/>
    <w:uiPriority w:val="9"/>
    <w:qFormat/>
    <w:rsid w:val="00EF30A2"/>
    <w:pPr>
      <w:ind w:left="109"/>
      <w:outlineLvl w:val="0"/>
    </w:pPr>
    <w:rPr>
      <w:rFonts w:ascii="Palatino Linotype" w:eastAsia="Palatino Linotype" w:hAnsi="Palatino Linotype" w:cs="Palatino Linotype"/>
      <w:b/>
      <w:bCs/>
      <w:sz w:val="28"/>
      <w:szCs w:val="28"/>
    </w:rPr>
  </w:style>
  <w:style w:type="paragraph" w:styleId="Cmsor2">
    <w:name w:val="heading 2"/>
    <w:basedOn w:val="Norml"/>
    <w:link w:val="Cmsor2Char"/>
    <w:uiPriority w:val="9"/>
    <w:unhideWhenUsed/>
    <w:qFormat/>
    <w:rsid w:val="00EF30A2"/>
    <w:pPr>
      <w:ind w:left="416" w:hanging="308"/>
      <w:outlineLvl w:val="1"/>
    </w:pPr>
    <w:rPr>
      <w:rFonts w:ascii="Georgia" w:eastAsia="Georgia" w:hAnsi="Georgia" w:cs="Georgia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F30A2"/>
    <w:rPr>
      <w:rFonts w:ascii="Palatino Linotype" w:eastAsia="Palatino Linotype" w:hAnsi="Palatino Linotype" w:cs="Palatino Linotype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EF30A2"/>
    <w:rPr>
      <w:rFonts w:ascii="Georgia" w:eastAsia="Georgia" w:hAnsi="Georgia" w:cs="Georgia"/>
      <w:b/>
      <w:bCs/>
    </w:rPr>
  </w:style>
  <w:style w:type="paragraph" w:styleId="Szvegtrzs">
    <w:name w:val="Body Text"/>
    <w:basedOn w:val="Norml"/>
    <w:link w:val="SzvegtrzsChar"/>
    <w:uiPriority w:val="1"/>
    <w:qFormat/>
    <w:rsid w:val="00EF30A2"/>
    <w:pPr>
      <w:spacing w:before="18"/>
      <w:ind w:left="655"/>
    </w:pPr>
  </w:style>
  <w:style w:type="character" w:customStyle="1" w:styleId="SzvegtrzsChar">
    <w:name w:val="Szövegtörzs Char"/>
    <w:basedOn w:val="Bekezdsalapbettpusa"/>
    <w:link w:val="Szvegtrzs"/>
    <w:uiPriority w:val="1"/>
    <w:rsid w:val="00EF30A2"/>
    <w:rPr>
      <w:rFonts w:ascii="Times New Roman" w:eastAsia="Times New Roman" w:hAnsi="Times New Roman" w:cs="Times New Roman"/>
    </w:rPr>
  </w:style>
  <w:style w:type="paragraph" w:styleId="Listaszerbekezds">
    <w:name w:val="List Paragraph"/>
    <w:basedOn w:val="Norml"/>
    <w:uiPriority w:val="1"/>
    <w:qFormat/>
    <w:rsid w:val="00EF30A2"/>
    <w:pPr>
      <w:spacing w:before="98"/>
      <w:ind w:left="1135" w:hanging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251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Elbekkal-Besznyák Judit</dc:creator>
  <cp:keywords/>
  <dc:description/>
  <cp:lastModifiedBy>Elbekkal-Besznyák Judit</cp:lastModifiedBy>
  <cp:revision>1</cp:revision>
  <dcterms:created xsi:type="dcterms:W3CDTF">2022-04-01T08:17:00Z</dcterms:created>
  <dcterms:modified xsi:type="dcterms:W3CDTF">2022-04-01T12:12:00Z</dcterms:modified>
</cp:coreProperties>
</file>